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6761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67614" w:rsidRDefault="00CB0824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67614" w:rsidRDefault="00CB0824">
            <w:pPr>
              <w:spacing w:after="0" w:line="240" w:lineRule="auto"/>
            </w:pPr>
            <w:r>
              <w:t>33562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67614" w:rsidRDefault="00CB082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67614" w:rsidRDefault="00CB0824">
            <w:pPr>
              <w:spacing w:after="0" w:line="240" w:lineRule="auto"/>
            </w:pPr>
            <w:r>
              <w:t>OPĆINA SVETA MARIJA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67614" w:rsidRDefault="00CB082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67614" w:rsidRDefault="00CB0824">
            <w:pPr>
              <w:spacing w:after="0" w:line="240" w:lineRule="auto"/>
            </w:pPr>
            <w:r>
              <w:t>22</w:t>
            </w:r>
          </w:p>
        </w:tc>
      </w:tr>
    </w:tbl>
    <w:p w:rsidR="00167614" w:rsidRDefault="00CB0824">
      <w:r>
        <w:br/>
      </w:r>
    </w:p>
    <w:p w:rsidR="00167614" w:rsidRDefault="00CB082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67614" w:rsidRDefault="00CB0824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67614" w:rsidRDefault="00CB0824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1.807.279,77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1.634.259,96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90,4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987.786,20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1.070.381,02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108,4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16761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819.493,57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563.878,94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68,8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2.989,31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3.332,42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111,5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828.115,50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230.470,96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27,8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16761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825.126,19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227.138,54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27,5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70.785,48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70.785,48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16761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70.785,48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70.785,48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16761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265.954,92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 xml:space="preserve">Ukupni prihodi poslovanja iznose 1.634.259,96 eura i u odnosu na prošlogodišnje razdoblje su manji te imaju </w:t>
      </w:r>
      <w:proofErr w:type="spellStart"/>
      <w:r>
        <w:t>indek</w:t>
      </w:r>
      <w:proofErr w:type="spellEnd"/>
      <w:r>
        <w:t xml:space="preserve"> ostvarenja 90,4. Prihodi od poreza su veći zbog veće zaposlenosti i rastu plaća u realnom sektoru, dok se kod Pomoći iz inozemstva i od subjek</w:t>
      </w:r>
      <w:r>
        <w:t>ata unutar općeg proračuna na šifri 63 bilježi manji prihod spram prošle godine i ima indeks od 60,0. Povećanje je u većem prihodu za fiskalnu održivost dječjeg vrtića i ove godine je to iznos od 67.980,00 eura, te povećanje pomoći fiskalnog izravnanja JLS</w:t>
      </w:r>
      <w:r>
        <w:t xml:space="preserve"> u iznosu od 245.798,68 eura. Međimurska županija je u </w:t>
      </w:r>
      <w:proofErr w:type="spellStart"/>
      <w:r>
        <w:t>potponusti</w:t>
      </w:r>
      <w:proofErr w:type="spellEnd"/>
      <w:r>
        <w:t xml:space="preserve"> podmirila svoju obvezu za sufinanciranje prijevoza </w:t>
      </w:r>
      <w:r>
        <w:lastRenderedPageBreak/>
        <w:t>učenika OŠ Sveta Marija za 2025.g. Tokom ove godine završeni su radovi na rekonstrukciji i nadogradnji dječjeg vrtića pa su znatno manja sr</w:t>
      </w:r>
      <w:r>
        <w:t xml:space="preserve">edstva Ministarstva demografije i useljeništva te ona iznosi 37.819,01 </w:t>
      </w:r>
      <w:proofErr w:type="spellStart"/>
      <w:r>
        <w:t>eur</w:t>
      </w:r>
      <w:proofErr w:type="spellEnd"/>
      <w:r>
        <w:t>. Bilo je manje investicija pa su i sredstva primljena iz ministarstava manja. Ministarstvo regionalnog razvoja i fondova EU doznačilo je 24.000,00 eura za rekonstrukciju Doma kultur</w:t>
      </w:r>
      <w:r>
        <w:t xml:space="preserve">e u Svetoj Mariji. Ministarstvo prostornog uređenja , graditeljstva i državne imovine doznačilo je 13.900,00 eura za </w:t>
      </w:r>
      <w:proofErr w:type="spellStart"/>
      <w:r>
        <w:t>izmještanje</w:t>
      </w:r>
      <w:proofErr w:type="spellEnd"/>
      <w:r>
        <w:t xml:space="preserve"> ormarića javne rasvjete iz trafostanica. Od LAG-a MURA- DRAVA primljeno je 12.162,38 eura za rekonstrukciju </w:t>
      </w:r>
      <w:proofErr w:type="spellStart"/>
      <w:r>
        <w:t>termotehničke</w:t>
      </w:r>
      <w:proofErr w:type="spellEnd"/>
      <w:r>
        <w:t xml:space="preserve"> insta</w:t>
      </w:r>
      <w:r>
        <w:t xml:space="preserve">lacije Doma kulture u Donjem </w:t>
      </w:r>
      <w:proofErr w:type="spellStart"/>
      <w:r>
        <w:t>Mihaljevcu</w:t>
      </w:r>
      <w:proofErr w:type="spellEnd"/>
      <w:r>
        <w:t>.  Na šifri 64 bilježi se manji prihod u odnosu na prošlogodišnje razdoblje i ima indeks od 86,7. Manja je kamata na depozite po viđenju što ovisi o iznosu sredstava i kamatnoj stopi banke. Manja je naknada za korište</w:t>
      </w:r>
      <w:r>
        <w:t xml:space="preserve">nje prostora elektrana što pak ovisi o proizvodnji električne energije i postotku koje pripada općini. Rashodi poslovanja iznose 1.070.381,02 eura i u odnosu na prošlogodišnje razdoblje su veći i imaju indeks ostvarenja 108,4. Veći su rashodi za zaposlene </w:t>
      </w:r>
      <w:r>
        <w:t>zbog povećanja plaća. Povećanje materijalnih rashoda imamo na  uslugama tekućeg i investicijskog održavanja, komunalnim uslugama te intelektualnim i osobnim uslugama. Provedba lokalnih izbora utjecala je na povećane naknade povjerenstava. Za sufinanciranje</w:t>
      </w:r>
      <w:r>
        <w:t xml:space="preserve"> predškolskog programa izdvojilo se više sredstava zbog većeg broja upisane djece i rasta ekonomske </w:t>
      </w:r>
      <w:proofErr w:type="spellStart"/>
      <w:r>
        <w:t>sijene</w:t>
      </w:r>
      <w:proofErr w:type="spellEnd"/>
      <w:r>
        <w:t xml:space="preserve"> vrtićkih usluga. Povećane su naknade kućanstvima te kapitalne donacije neprofitnim organizacijama. Zbog završetka projekta Aglomeracije Donja Dubrava</w:t>
      </w:r>
      <w:r>
        <w:t xml:space="preserve"> ove godine smo imali trošak od 3.238,88 eura. Prema opisanim prihodima i rashodima imamo višak prihoda poslovanja od 563.878,94 eura. Šifra 7 ima prihod od 3.332,42 eura i odnosi se na prodaju građevinskog zemljišta u iznosu od 3.060,00 eura i iznos od 27</w:t>
      </w:r>
      <w:r>
        <w:t xml:space="preserve">2,42 eura odnosi se na prodaju stanova bivše Općine Čakovec. Šifra 4 ima iznos od 230.470,96 eura. Za završetak radova na rekonstrukciji dječjeg vrtića izdvojeno je 29.080,38 eura. Za rekonstrukciju Doma kulture u Svetoj Mariji otpada 54.580,64 eura  a za </w:t>
      </w:r>
      <w:r>
        <w:t xml:space="preserve">Dom kulture u Donjem </w:t>
      </w:r>
      <w:proofErr w:type="spellStart"/>
      <w:r>
        <w:t>Mihaljevcu</w:t>
      </w:r>
      <w:proofErr w:type="spellEnd"/>
      <w:r>
        <w:t xml:space="preserve"> 16.785,13 eura. Projektna dokumentacija za skladište komunalne opreme iznosila je 7.507,96 eura. </w:t>
      </w:r>
      <w:proofErr w:type="spellStart"/>
      <w:r>
        <w:t>Izmještanje</w:t>
      </w:r>
      <w:proofErr w:type="spellEnd"/>
      <w:r>
        <w:t xml:space="preserve"> ormarića javne rasvjete iz </w:t>
      </w:r>
      <w:proofErr w:type="spellStart"/>
      <w:r>
        <w:t>trafo</w:t>
      </w:r>
      <w:proofErr w:type="spellEnd"/>
      <w:r>
        <w:t xml:space="preserve"> stanica stajalo je 46.255,00 eura. </w:t>
      </w:r>
      <w:proofErr w:type="spellStart"/>
      <w:r>
        <w:t>Opremenja</w:t>
      </w:r>
      <w:proofErr w:type="spellEnd"/>
      <w:r>
        <w:t xml:space="preserve"> nadograđenog djela vrtića stajalo je </w:t>
      </w:r>
      <w:r>
        <w:t>50.625,45 eura. Nabavljen je električni moped za potrebe komunalnih poslova, nabavljena su dva defibrilatora, tableti za rad općinskog vijeća, praktikanti i ormari za domove kulture te program objedinjene glavne knjige zbog prelaska na Riznicu. Iz svega na</w:t>
      </w:r>
      <w:r>
        <w:t>vedenog imamo manjak prihoda od nefinancijske imovine u iznosu od 227.135,54 eura. Na šifri 5 imamo izdatak od 70.785,48 eura i odnosi se na otplatu kredita. Za kraj godine imamo višak prihoda i primitaka u iznosu od 265.954,92 eura.</w:t>
      </w:r>
    </w:p>
    <w:p w:rsidR="00167614" w:rsidRDefault="00CB0824">
      <w:r>
        <w:br/>
      </w:r>
    </w:p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883.971,39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1.012.766,50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Prihodi od poreza su veći u odnosu na prošlogodišnje razdoblje iz razloga povećanja plaća i veće zaposlenosti.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 xml:space="preserve">Za prošlogodišnje razdoblje nema primitaka na toj šifri jer je ove godine uveden porez na </w:t>
      </w:r>
      <w:proofErr w:type="spellStart"/>
      <w:r>
        <w:t>nekratnine</w:t>
      </w:r>
      <w:proofErr w:type="spellEnd"/>
      <w:r>
        <w:t xml:space="preserve"> i po </w:t>
      </w:r>
      <w:proofErr w:type="spellStart"/>
      <w:r>
        <w:t>tpj</w:t>
      </w:r>
      <w:proofErr w:type="spellEnd"/>
      <w:r>
        <w:t xml:space="preserve"> osnovi primljeno je 2.960,00 eura.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386.373,29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75.719,01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19,6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Ove godine iz Državnog proračuna - Nacionalni plan oporavka i otpornosti  za rekonstrukciju i nadogradnju dječjeg vrtića primljen je manji iznos jer je glavnina radova završena prošle godine.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</w:t>
            </w:r>
            <w:r>
              <w:rPr>
                <w:b/>
                <w:sz w:val="18"/>
              </w:rPr>
              <w:t>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izravnanja za decentralizirane funkcije i fiskalnog izravnanja (šifre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245.798,68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Na toj poziciji nema indeksa ostvarenja iz razloga što je ova pomoć prošle godine bila prikazana na kontu 633, dok je ove godine na propisanom kontu.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20.618,65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12.162,38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59,0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 xml:space="preserve">Ove godine je na toj poziciji primljen iznos od 12.162,38 eura od LAG-a MURA-DRAVA za rekonstrukciju </w:t>
      </w:r>
      <w:proofErr w:type="spellStart"/>
      <w:r>
        <w:t>termotehničke</w:t>
      </w:r>
      <w:proofErr w:type="spellEnd"/>
      <w:r>
        <w:t xml:space="preserve"> instalacije u Donjem </w:t>
      </w:r>
      <w:proofErr w:type="spellStart"/>
      <w:r>
        <w:t>Mihaljevcu</w:t>
      </w:r>
      <w:proofErr w:type="spellEnd"/>
      <w:r>
        <w:t xml:space="preserve"> u Domu kulture a prošle godine su dobivena sredstava u iznosu od 20.618,65 eura za uređenje parka oko crkve u</w:t>
      </w:r>
      <w:r>
        <w:t xml:space="preserve"> Svetoj Mariji.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90.551,92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67.790,87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74,9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 xml:space="preserve">Na toj poziciji imamo smanjenje prihoda a razlog je u prihodu od </w:t>
      </w:r>
      <w:proofErr w:type="spellStart"/>
      <w:r>
        <w:t>hidrorente</w:t>
      </w:r>
      <w:proofErr w:type="spellEnd"/>
      <w:r>
        <w:t xml:space="preserve"> što ovisi o količini proizvedene električne energije. 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Na toj poziciji nema indeksa ostvarenja iz razloga što prošle godine nije bilo naknada za zadržavanje nezakonito izgrađene zgrade u prostoru.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 i naknade (šifre 6531 do 6533)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34.778,78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40.906,25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117,6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Povećanje na toj poziciji se odnosi na prihode od komunalnog doprinosa što ovisi o gradnji zgrada te povećanoj naplati komunalne naknade.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4.154,81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18,4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Znatno smanjenje prihoda na ovoj poziciji je zbog toga što su Hrvatske vode preuzele obvezu naplate naknade za uređenje voda a općina je dužna vršiti naplatu samo iz prijašnjih razdoblja pa ostvaruje i manji prihod od poslova naplate. 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kazne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9,5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 xml:space="preserve">Prihod na ovoj poziciji je manji u odnosu na prošlogodišnje razdoblje iz razloga </w:t>
      </w:r>
      <w:proofErr w:type="spellStart"/>
      <w:r>
        <w:t>šro</w:t>
      </w:r>
      <w:proofErr w:type="spellEnd"/>
      <w:r>
        <w:t xml:space="preserve"> je bilo manje komunalnih prekršaja za koji se naplaćuju kazne.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125.496,93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177.242,16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141,2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Rashodi za zaposlene kao i materijalna prava za zaposlenike su se povećali zbog rasta plaća.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50,0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Ove godine odslušano je samo jedno predavanje.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42.522,28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37.363,36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87,9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 xml:space="preserve">Rashodi na ovoj poziciji za izvještajno razdoblje su manji jer se vrtić sa radom vratio u matični objekt, dok je prošle godine vrtić zbog </w:t>
      </w:r>
      <w:proofErr w:type="spellStart"/>
      <w:r>
        <w:t>dadogradnje</w:t>
      </w:r>
      <w:proofErr w:type="spellEnd"/>
      <w:r>
        <w:t xml:space="preserve"> i rekonstrukcije matičnog objekta bio smješten u Dom kulture u Donji </w:t>
      </w:r>
      <w:proofErr w:type="spellStart"/>
      <w:r>
        <w:t>mihaljevec</w:t>
      </w:r>
      <w:proofErr w:type="spellEnd"/>
      <w:r>
        <w:t xml:space="preserve"> i potrošnju energije je pl</w:t>
      </w:r>
      <w:r>
        <w:t>aćala Općina Sveta Marija u čijem je vlasništvu Dom kulture.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Uredski materijal i </w:t>
            </w:r>
            <w:r>
              <w:rPr>
                <w:sz w:val="18"/>
              </w:rPr>
              <w:t>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2.531,82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3.025,01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119,5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rashod je veći zbog porasta cijena uredskih potrepština.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11.735,13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8.443,88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72,0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Manja nabava sitnog inventara ove godine jer je u prošlogodišnjem razdoblju nabavljana većina potrebnog.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187.861,26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267.042,47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142,1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 xml:space="preserve">Povećanju rashoda na ovoj poziciji </w:t>
      </w:r>
      <w:proofErr w:type="spellStart"/>
      <w:r>
        <w:t>doprinjele</w:t>
      </w:r>
      <w:proofErr w:type="spellEnd"/>
      <w:r>
        <w:t xml:space="preserve"> su povećanja cijena usluga telefona, usluge za uređenje prostorije koju koristi Podružnica umirovljenika, usluge tekućeg i investicijskog održavanja programa. Znatno više se potrošilo na popravak elemenata boži</w:t>
      </w:r>
      <w:r>
        <w:t xml:space="preserve">ćne rasvjete, servise postrojenja i opreme. Ove godine se nabavio šljunak i </w:t>
      </w:r>
      <w:proofErr w:type="spellStart"/>
      <w:r>
        <w:t>zavažali</w:t>
      </w:r>
      <w:proofErr w:type="spellEnd"/>
      <w:r>
        <w:t xml:space="preserve"> su se poljski putevi u iznosu od 18.125,00 eura dok je u prošlogodišnjem razdoblju za tu namjenu utrošeno 1.025,00 eura. Za održavanje parkova je također znatno veći iznos</w:t>
      </w:r>
      <w:r>
        <w:t xml:space="preserve"> u odnosu na prošlogodišnje razdoblje zbog većih cijena za košnju po parkovima te košnja i čišćenje na kupalištu uz Dravu </w:t>
      </w:r>
      <w:proofErr w:type="spellStart"/>
      <w:r>
        <w:t>kai</w:t>
      </w:r>
      <w:proofErr w:type="spellEnd"/>
      <w:r>
        <w:t xml:space="preserve"> i sadnja u vanjskom prostoru vrtića. Ukazala se potreba za radove na oborinskoj kanalizaciji. Cijena tiska općinskog "</w:t>
      </w:r>
      <w:proofErr w:type="spellStart"/>
      <w:r>
        <w:t>Svetomarskog</w:t>
      </w:r>
      <w:proofErr w:type="spellEnd"/>
      <w:r>
        <w:t xml:space="preserve"> </w:t>
      </w:r>
      <w:proofErr w:type="spellStart"/>
      <w:r>
        <w:t>ljisteka</w:t>
      </w:r>
      <w:proofErr w:type="spellEnd"/>
      <w:r>
        <w:t>" je veća u odnosu na prošlogodišnje razdoblje kao i troškovi turističke promidžbe općine. Povećane su cijene usluga odvoza i zbrinjavanja otpada. Za izgradnju prometne signalizacije je utrošeno 27.884,00 eura, dok tog troška nije bilo prošle godi</w:t>
      </w:r>
      <w:r>
        <w:t xml:space="preserve">ne. Više za </w:t>
      </w:r>
      <w:proofErr w:type="spellStart"/>
      <w:r>
        <w:t>idvajalo</w:t>
      </w:r>
      <w:proofErr w:type="spellEnd"/>
      <w:r>
        <w:t xml:space="preserve"> za trošak zbrinjavanja životinja, te se započelo sa sufinanciranjem kastracije i </w:t>
      </w:r>
      <w:proofErr w:type="spellStart"/>
      <w:r>
        <w:t>čipiranje</w:t>
      </w:r>
      <w:proofErr w:type="spellEnd"/>
      <w:r>
        <w:t xml:space="preserve"> pasa i mačaka. Za vokalnu skupinu zbora u KUD-u se od lipnja plaća autorski honorar za voditelja. Povećale su se usluge pravnog savjetovanja zbo</w:t>
      </w:r>
      <w:r>
        <w:t xml:space="preserve">g rješavanja spora sa Infrastrukturom HŽ oko sanacije ceste prema Željezničkoj stanici Donji </w:t>
      </w:r>
      <w:proofErr w:type="spellStart"/>
      <w:r>
        <w:t>Gihaljevec</w:t>
      </w:r>
      <w:proofErr w:type="spellEnd"/>
      <w:r>
        <w:t>. Geodetsko-katastarske usluge su veće zbog izrade elaborata za evidentiranje izvedenog stanja nerazvrstanih cesta, te formiranje čestice za izgradnju Do</w:t>
      </w:r>
      <w:r>
        <w:t xml:space="preserve">ma za starije osobe. Do završetka Pilot projekta financirale su se glazbene i </w:t>
      </w:r>
      <w:r>
        <w:lastRenderedPageBreak/>
        <w:t>sportske radionice u vrtiću i nižim razredima osnovne škole. Porasli su troškovi Porezne uprave za naplatu 1% prihoda od poreza na dohodak. 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</w:t>
            </w:r>
            <w:r>
              <w:rPr>
                <w:b/>
                <w:sz w:val="18"/>
              </w:rPr>
              <w:t>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2.484,08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15.498,83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623,9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Iznos na toj pozicije ove godine je znatno veći zbog provedbe lokalnih izbora.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6.686,49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11.941,27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178,6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Troškovi reprezentacije su porasli zbog cijena roba i usluga.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6.263,35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Na toj poziciji nema indeksa iz razloga što su se ove godine otvorila konta za članarine dok su se u prošlogodišnjem razdoblju ta sredstva knjižila na donacijama.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15.422,79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11.500,80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74,6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Kamate za primljeni kredit se otplaćuju prema listi Banke. 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Subvencije (šifre </w:t>
            </w:r>
            <w:r>
              <w:rPr>
                <w:sz w:val="18"/>
              </w:rPr>
              <w:t>351+352+353)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Na toj poziciji nema indeksa ostvarenja jer su se ove godine po prvi put uvele subvencije za poljoprivrednike i pčelare. 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342.555,99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228.234,14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66,6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Iznos na toj poziciji je manji u odnosu na prošlogodišnje razdoblje zbog završetka projekta Aglomeracije Donja Dubrava.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157.640,00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194.840,00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Povećanje na toj poziciji je zbog većeg broja upisane djece polaznika vrtića kao i zbog povećanja ekonomske cijene vrtićkih usluga.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79.261,28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107.932,12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136,2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Do povećanja na toj poziciji je došlo zbog većeg broja potpora za uređenje nekretnina, većeg broja stipendista, dok su se naknade za novorođenu djecu povećale kao i sam broj novorođene djece tokom godine. Povećani je iznos za bonove za umirovljenike povodo</w:t>
      </w:r>
      <w:r>
        <w:t xml:space="preserve">m Božića i Uskrsa </w:t>
      </w:r>
      <w:proofErr w:type="spellStart"/>
      <w:r>
        <w:t>kai</w:t>
      </w:r>
      <w:proofErr w:type="spellEnd"/>
      <w:r>
        <w:t xml:space="preserve"> i paketa za osobe smještene u Domovima za starije i nemoćne osobe s našeg područja.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(šifre 3821 do 3824)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288,2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 xml:space="preserve">Ove godine se uz kapitalne donacije sportskim društvima u iznosu od 19.000,00 eura dala donacija DVD-u Donji </w:t>
      </w:r>
      <w:proofErr w:type="spellStart"/>
      <w:r>
        <w:t>Mihaljevec</w:t>
      </w:r>
      <w:proofErr w:type="spellEnd"/>
      <w:r>
        <w:t xml:space="preserve"> u iznosu od 30.000,00 eura za izgradnju spremišta za vatrogasna vozila.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(šifre 3861 do 3865)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40.352,52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3.238,88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8,0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tokom godine dobiven je samo jedan Zahtjev za ostale troškove projekta Aglomeracije Donja Dubrava.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</w:t>
            </w:r>
            <w:r>
              <w:rPr>
                <w:b/>
                <w:sz w:val="18"/>
              </w:rPr>
              <w:t>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2.989,31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3.332,42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111,5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 xml:space="preserve">postignuta je veća cijena za prodaju građevinskog zemljišta u odnosu </w:t>
      </w:r>
      <w:proofErr w:type="spellStart"/>
      <w:r>
        <w:t>naprošlu</w:t>
      </w:r>
      <w:proofErr w:type="spellEnd"/>
      <w:r>
        <w:t xml:space="preserve"> godinu.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46,8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Sredstva se odnose na prihod od prodaje stanova u vlasništvu bivše općine Čakovec a ovisi o iznosu otplate na stanarsko pravo.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z w:val="18"/>
              </w:rPr>
              <w:t xml:space="preserve"> dugotrajne imovine (šifre 411+412)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0,6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 xml:space="preserve">Ove godine je općina postala suvlasnik dijela nekretnine u Donjem </w:t>
      </w:r>
      <w:proofErr w:type="spellStart"/>
      <w:r>
        <w:t>mihaljevcu</w:t>
      </w:r>
      <w:proofErr w:type="spellEnd"/>
      <w:r>
        <w:t xml:space="preserve"> u iznosu od 150,00 eura, dok je prošle godine kupila nekretninu u iznosu od 24.100,00 eura na </w:t>
      </w:r>
      <w:proofErr w:type="spellStart"/>
      <w:r>
        <w:t>kojej</w:t>
      </w:r>
      <w:proofErr w:type="spellEnd"/>
      <w:r>
        <w:t xml:space="preserve"> se planira izgradnja spremišta za komunalnu opremu. 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804.015,50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230.320,96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28,6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 xml:space="preserve">Ove godine bilježen je manji iznos na rekonstrukciji i dogradnji </w:t>
      </w:r>
      <w:proofErr w:type="spellStart"/>
      <w:r>
        <w:t>dvječjeg</w:t>
      </w:r>
      <w:proofErr w:type="spellEnd"/>
      <w:r>
        <w:t xml:space="preserve"> vrtića jer je većina radova izvršena tokom 2024.g. Prošle godine se postavljala LED javna rasvjeta u iznosu od 60.704,84 eura dok za istu ove godine nije bilo potrebe. Tokom ove godi</w:t>
      </w:r>
      <w:r>
        <w:t xml:space="preserve">ne bili su radovi na rekonstrukciji Domova kulture, izrađena je projektna dokumentacija za izgradnju spremišta za komunalnu opremu, izmješteni su ormarići javne rasvjete iz </w:t>
      </w:r>
      <w:proofErr w:type="spellStart"/>
      <w:r>
        <w:t>trafo</w:t>
      </w:r>
      <w:proofErr w:type="spellEnd"/>
      <w:r>
        <w:t xml:space="preserve"> stanica, nabavljena je oprema za nadograđeni dio vrtića, defibrilator, tablet</w:t>
      </w:r>
      <w:r>
        <w:t xml:space="preserve">i za članove općinskog vijeća, praktikanti i ormari za Domove kulture, nabavljen je električni </w:t>
      </w:r>
      <w:proofErr w:type="spellStart"/>
      <w:r>
        <w:t>mopet</w:t>
      </w:r>
      <w:proofErr w:type="spellEnd"/>
      <w:r>
        <w:t xml:space="preserve"> za potrebe komunalnih poslova te program za Objedinjenu Glavnu knjigu.  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1.545.141,54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2.368.595,14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153,3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 xml:space="preserve">Povećanje na ovoj poziciji je zbog završetka radova na rekonstrukciji i </w:t>
      </w:r>
      <w:proofErr w:type="spellStart"/>
      <w:r>
        <w:t>dnadogradnji</w:t>
      </w:r>
      <w:proofErr w:type="spellEnd"/>
      <w:r>
        <w:t xml:space="preserve"> dječjeg vrtića.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65.697,43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111.365,24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169,5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Povećanje je zbog nabave za opremanje nadograđenog dijela dječjeg vrtića.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Medicinska i laboratorijska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6.071,05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Tokom ove godine nabavljena su 2 AED defibrilatora.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915,79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3.849,00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420,3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Povećanje je zbog nabave električnog mopeda za potrebe komunalnih poslova.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9.614,02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12.876,52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133,9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Nabavljen je računalni program za Objedinjenu Glavnu knjigu.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72.215,34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lastRenderedPageBreak/>
        <w:t>Iznos se odnosi za kamate na primljeni kredit.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(šifre 231 do 234 + 235 + 236 + 237 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158.181,42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121.671,41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76,9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Obveze su manje spram prošlogodišnjeg razdoblja jer je u prošloj godini bilo većih radova.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Rezultat - višak/manjak </w:t>
            </w:r>
            <w:r>
              <w:rPr>
                <w:sz w:val="18"/>
              </w:rPr>
              <w:t>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560.735,77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851.875,38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151,9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Rezultat poslovanja je pozitivan  te se u 2026. prenosi višak od 851.875,38 eura. 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16761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Kontrolni zbroj (šifre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1.658.261,70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1.106.011,98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66,7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 xml:space="preserve">U izvještajnom razdoblju rashodi iznose 1.106.011, 98 eura. Izuzeti su rashodi </w:t>
      </w:r>
      <w:proofErr w:type="spellStart"/>
      <w:r>
        <w:t>uiznosu</w:t>
      </w:r>
      <w:proofErr w:type="spellEnd"/>
      <w:r>
        <w:t xml:space="preserve"> od 194.840,00 eura što je doznačeno proračunskom korisniku Dječjem vrtiću te izdatak od 70.785,48 eura za financijsku imovinu (kredit).  Prema prošlogodišnjem razdoblju </w:t>
      </w:r>
      <w:r>
        <w:t xml:space="preserve">bilježi se povećanje za Opće javne usluge, Javni red i sigurnost, Ekonomski poslovi, Rekreacija, kultura i religija, Socijalna zaštita dok se na </w:t>
      </w:r>
      <w:proofErr w:type="spellStart"/>
      <w:r>
        <w:t>ostalimpozicijama</w:t>
      </w:r>
      <w:proofErr w:type="spellEnd"/>
      <w:r>
        <w:t xml:space="preserve"> bilježi manji rashod.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lastRenderedPageBreak/>
        <w:t>Smanjenje u iznosu od 15,26 eura se odnosi na rashodovanje osobnog automobila koji je predan za otkup otpada.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obveza (šifre</w:t>
            </w:r>
            <w:r>
              <w:rPr>
                <w:sz w:val="18"/>
              </w:rPr>
              <w:t xml:space="preserve"> 91521+91522)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1.929,30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Iznos od 1.929,30 eura se odnosi na otpis obveze prema dobavljaču iz 2016.g. zbog zastare.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16761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</w:t>
            </w:r>
            <w:r>
              <w:rPr>
                <w:sz w:val="18"/>
              </w:rPr>
              <w:t>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1.625,85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>Stanje dospjelih obveza na kraju 2025.g. iznose 1.625,85 eura. Iznos od 1.050,67 eura se odnosi na obvezu prema dobavljačima a razlog je što su računi sa dospijećem plaćanja u 2025.g. stigli nakon 31.12.2025. Iznos od 287,59 eura odnosi se na donaciju o su</w:t>
      </w:r>
      <w:r>
        <w:t xml:space="preserve">financiranju "Centra </w:t>
      </w:r>
      <w:proofErr w:type="spellStart"/>
      <w:r>
        <w:t>PeInOS</w:t>
      </w:r>
      <w:proofErr w:type="spellEnd"/>
      <w:r>
        <w:t>" zadnja rata za 2025.g. ali iz HCK - GDCK Čakovec nije stigao Zahtjev za plaćanjem prema potpisanom Sporazumu o sufinanciranju.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676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761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rashode </w:t>
            </w:r>
            <w:r>
              <w:rPr>
                <w:sz w:val="18"/>
              </w:rPr>
              <w:t>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120.045,56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7614" w:rsidRDefault="00CB082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67614" w:rsidRDefault="00167614">
      <w:pPr>
        <w:spacing w:after="0"/>
      </w:pPr>
    </w:p>
    <w:p w:rsidR="00167614" w:rsidRDefault="00CB0824">
      <w:r>
        <w:t xml:space="preserve">Nedospjele obveze za rashode poslovanja iznose 120.045,56 eura. Od toga na obveze </w:t>
      </w:r>
      <w:proofErr w:type="spellStart"/>
      <w:r>
        <w:t>zazaposlene</w:t>
      </w:r>
      <w:proofErr w:type="spellEnd"/>
      <w:r>
        <w:t xml:space="preserve"> otpada 12.650,94 eura i odnose se na plaću za 12/2025.g. koja se isplaćuje tokom siječnja 2026.g. Materijalni rashodi iznose 22.188,58 eura sa dospijećem plaćanja</w:t>
      </w:r>
      <w:r>
        <w:t xml:space="preserve"> tokom siječnja 2026.g. Obveze za financijske rashode iznose 72.320,23 eura i to za obveze za kamate za primljeni kredit u iznosu od 72.215,34 eura i za usluge platnog prometa u iznosu od 104.,89 eura. Obveza za subvencije </w:t>
      </w:r>
      <w:proofErr w:type="spellStart"/>
      <w:r>
        <w:t>poljoprivrenicima</w:t>
      </w:r>
      <w:proofErr w:type="spellEnd"/>
      <w:r>
        <w:t xml:space="preserve"> iznose 120,00 e</w:t>
      </w:r>
      <w:r>
        <w:t xml:space="preserve">ura sa </w:t>
      </w:r>
      <w:proofErr w:type="spellStart"/>
      <w:r>
        <w:t>dospjećem</w:t>
      </w:r>
      <w:proofErr w:type="spellEnd"/>
      <w:r>
        <w:t xml:space="preserve"> siječnja 2026.g.  4.971,63 eura je obveza prema drugim proračunima sa dospijećem siječanj 2026. Obveze za ostale naknade građanima i kućanstvima  iznose 6.667,61 </w:t>
      </w:r>
      <w:proofErr w:type="spellStart"/>
      <w:r>
        <w:t>eur</w:t>
      </w:r>
      <w:proofErr w:type="spellEnd"/>
      <w:r>
        <w:t>, dok na ostale nespomenute obveze otpada 1.126,57 eura..</w:t>
      </w:r>
    </w:p>
    <w:p w:rsidR="00167614" w:rsidRDefault="00167614"/>
    <w:p w:rsidR="00167614" w:rsidRDefault="00CB0824">
      <w:pPr>
        <w:keepNext/>
        <w:spacing w:line="240" w:lineRule="auto"/>
        <w:jc w:val="center"/>
      </w:pPr>
      <w:r>
        <w:rPr>
          <w:sz w:val="28"/>
        </w:rPr>
        <w:lastRenderedPageBreak/>
        <w:t>Bilješka 45.</w:t>
      </w:r>
    </w:p>
    <w:p w:rsidR="00167614" w:rsidRDefault="00CB0824">
      <w:pPr>
        <w:spacing w:line="240" w:lineRule="auto"/>
        <w:jc w:val="both"/>
      </w:pPr>
      <w:r>
        <w:rPr>
          <w:b/>
        </w:rPr>
        <w:t>EU</w:t>
      </w:r>
      <w:r>
        <w:rPr>
          <w:b/>
        </w:rPr>
        <w:t xml:space="preserve"> izvještaj</w:t>
      </w:r>
    </w:p>
    <w:p w:rsidR="00167614" w:rsidRDefault="00CB0824">
      <w:r>
        <w:t xml:space="preserve">Ostvareni prihod na šifri 638 iznosi od 36.162,38 eura. Ministarstvo regionalnog razvoja i fondova EU doznačilo je iznos od 24.000,00 eura za rekonstrukciju Doma kulture - kat u Svetoj Mariji i to je prikazano na trošku konta 4214. Ministarstvo </w:t>
      </w:r>
      <w:r>
        <w:t xml:space="preserve">poljoprivrede i ruralnog razvoja preko LAG-a MURA-DRAVA doznačilo je iznos od 12.162,38 eura za rekonstrukciju </w:t>
      </w:r>
      <w:proofErr w:type="spellStart"/>
      <w:r>
        <w:t>termotehničkih</w:t>
      </w:r>
      <w:proofErr w:type="spellEnd"/>
      <w:r>
        <w:t xml:space="preserve"> instalacija doma kulture u Donjem </w:t>
      </w:r>
      <w:proofErr w:type="spellStart"/>
      <w:r>
        <w:t>Mihaljevcu</w:t>
      </w:r>
      <w:proofErr w:type="spellEnd"/>
      <w:r>
        <w:t>. Od iznosa  12.162,38 eura  90% su sredstva EU (10.946,14 eura) i 10% su sredstva nac</w:t>
      </w:r>
      <w:r>
        <w:t xml:space="preserve">ionalnog sufinanciranja (1.216,24 eura). Dobivena sredstva su utrošena na nabavu sitnog inventara(šifra 3225) u iznosu od 2.966,63 eura i na nabavu strojeva i </w:t>
      </w:r>
      <w:proofErr w:type="spellStart"/>
      <w:r>
        <w:t>uređeja</w:t>
      </w:r>
      <w:proofErr w:type="spellEnd"/>
      <w:r>
        <w:t xml:space="preserve"> (šifra 422)u iznosu od 9.195,75 eura.</w:t>
      </w:r>
    </w:p>
    <w:p w:rsidR="00167614" w:rsidRDefault="00CB0824">
      <w:r>
        <w:t> </w:t>
      </w:r>
    </w:p>
    <w:p w:rsidR="00167614" w:rsidRDefault="00167614"/>
    <w:sectPr w:rsidR="00167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14"/>
    <w:rsid w:val="00167614"/>
    <w:rsid w:val="00CB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66DAC-CAA2-43BF-BBC9-D56C5903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3641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2026-02-16T12:52:00Z</dcterms:created>
  <dcterms:modified xsi:type="dcterms:W3CDTF">2026-02-16T12:52:00Z</dcterms:modified>
</cp:coreProperties>
</file>